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AB" w:rsidRPr="00D82BAB" w:rsidRDefault="00D82BAB" w:rsidP="00D82BAB">
      <w:pPr>
        <w:ind w:firstLine="709"/>
        <w:jc w:val="center"/>
        <w:rPr>
          <w:b/>
          <w:sz w:val="28"/>
          <w:szCs w:val="28"/>
        </w:rPr>
      </w:pPr>
      <w:r w:rsidRPr="00D82BAB">
        <w:rPr>
          <w:b/>
          <w:sz w:val="28"/>
          <w:szCs w:val="28"/>
        </w:rPr>
        <w:t>О правоприменительной практике контрольно-надзорной деятельности</w:t>
      </w:r>
    </w:p>
    <w:p w:rsidR="00D82BAB" w:rsidRDefault="00D82BAB" w:rsidP="00D82BAB">
      <w:pPr>
        <w:ind w:firstLine="709"/>
        <w:jc w:val="center"/>
        <w:rPr>
          <w:b/>
          <w:sz w:val="28"/>
          <w:szCs w:val="28"/>
        </w:rPr>
      </w:pPr>
      <w:r w:rsidRPr="00D82BAB">
        <w:rPr>
          <w:b/>
          <w:sz w:val="28"/>
          <w:szCs w:val="28"/>
        </w:rPr>
        <w:t xml:space="preserve">Министерства регионального развития Республики Алтай  </w:t>
      </w:r>
      <w:r w:rsidR="009D64E3">
        <w:rPr>
          <w:b/>
          <w:sz w:val="28"/>
          <w:szCs w:val="28"/>
        </w:rPr>
        <w:t>в</w:t>
      </w:r>
      <w:r w:rsidRPr="00D82BAB">
        <w:rPr>
          <w:b/>
          <w:sz w:val="28"/>
          <w:szCs w:val="28"/>
        </w:rPr>
        <w:t xml:space="preserve"> 2017 год</w:t>
      </w:r>
      <w:r w:rsidR="009D64E3">
        <w:rPr>
          <w:b/>
          <w:sz w:val="28"/>
          <w:szCs w:val="28"/>
        </w:rPr>
        <w:t>у</w:t>
      </w:r>
      <w:r w:rsidRPr="00D82BAB">
        <w:rPr>
          <w:b/>
          <w:sz w:val="28"/>
          <w:szCs w:val="28"/>
        </w:rPr>
        <w:t>.</w:t>
      </w:r>
    </w:p>
    <w:p w:rsidR="00D82BAB" w:rsidRPr="00D82BAB" w:rsidRDefault="00D82BAB" w:rsidP="00D82BAB">
      <w:pPr>
        <w:ind w:firstLine="709"/>
        <w:jc w:val="center"/>
        <w:rPr>
          <w:b/>
          <w:sz w:val="28"/>
          <w:szCs w:val="28"/>
        </w:rPr>
      </w:pPr>
    </w:p>
    <w:p w:rsidR="00D82BAB" w:rsidRDefault="001F0D94" w:rsidP="00D82BAB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 xml:space="preserve">Министерство регионального развития Республики Алтай является исполнительным органом государственной власти Республики Алтай, осуществляющим функции по контролю и надзору в сфере: </w:t>
      </w:r>
    </w:p>
    <w:p w:rsidR="00D82BAB" w:rsidRDefault="00D82BAB" w:rsidP="00D82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D94" w:rsidRPr="00D21D3D">
        <w:rPr>
          <w:sz w:val="28"/>
          <w:szCs w:val="28"/>
        </w:rPr>
        <w:t xml:space="preserve">государственного контроля и надзора в области долевого строительства многоквартирных домов и (или) иных объектов недвижимости на территории Республики Алтай; </w:t>
      </w:r>
    </w:p>
    <w:p w:rsidR="001F0D94" w:rsidRDefault="001F0D94" w:rsidP="00D21D3D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>Министерством в целях открытости и доступности информации для предпринимательского сообщества региона о деятельности контрольно-надзорных органов на официальном сайте http://minregion-ra.ru/ создана вкладка: ОСНОВНЫЕ НАПРАВЛЕНИЯ ЦЕЛЕВОЙ МОДЕЛИ «КОНТРОЛЬНО-НАДЗОРНАЯ ДЕЯТЕЛЬНОСТЬ».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В </w:t>
      </w:r>
      <w:r w:rsidR="0094012D">
        <w:rPr>
          <w:sz w:val="28"/>
          <w:szCs w:val="28"/>
        </w:rPr>
        <w:t xml:space="preserve">1 квартале </w:t>
      </w:r>
      <w:r w:rsidRPr="00843035">
        <w:rPr>
          <w:sz w:val="28"/>
          <w:szCs w:val="28"/>
        </w:rPr>
        <w:t>201</w:t>
      </w:r>
      <w:r w:rsidR="0094012D">
        <w:rPr>
          <w:sz w:val="28"/>
          <w:szCs w:val="28"/>
        </w:rPr>
        <w:t>8</w:t>
      </w:r>
      <w:r w:rsidRPr="00843035">
        <w:rPr>
          <w:sz w:val="28"/>
          <w:szCs w:val="28"/>
        </w:rPr>
        <w:t xml:space="preserve"> год</w:t>
      </w:r>
      <w:r w:rsidR="0094012D">
        <w:rPr>
          <w:sz w:val="28"/>
          <w:szCs w:val="28"/>
        </w:rPr>
        <w:t>а</w:t>
      </w:r>
      <w:r w:rsidRPr="00843035">
        <w:rPr>
          <w:sz w:val="28"/>
          <w:szCs w:val="28"/>
        </w:rPr>
        <w:t xml:space="preserve"> Министерством осуществлялись мероприятия по проведению регионального государственного контроля и надзора за соблюдением законодательства в области долевого строительства застройщиков на территории Республики Алтай на </w:t>
      </w:r>
      <w:r w:rsidR="0094012D">
        <w:rPr>
          <w:sz w:val="28"/>
          <w:szCs w:val="28"/>
        </w:rPr>
        <w:t>6</w:t>
      </w:r>
      <w:r w:rsidRPr="00843035">
        <w:rPr>
          <w:sz w:val="28"/>
          <w:szCs w:val="28"/>
        </w:rPr>
        <w:t xml:space="preserve"> объектах.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Строительства многоквартирных домов и (или) иных объектов недвижимости на территории Республики Алтай направлен на обеспечение прав и законных интересов участников долевого строительства на территории Республики Алтай.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Реализация данной задачи в</w:t>
      </w:r>
      <w:r w:rsidR="0094012D">
        <w:rPr>
          <w:sz w:val="28"/>
          <w:szCs w:val="28"/>
        </w:rPr>
        <w:t xml:space="preserve"> </w:t>
      </w:r>
      <w:r w:rsidR="0094012D" w:rsidRPr="0094012D">
        <w:rPr>
          <w:sz w:val="28"/>
          <w:szCs w:val="28"/>
        </w:rPr>
        <w:t>1 квартале 2018 года</w:t>
      </w:r>
      <w:r w:rsidRPr="00843035">
        <w:rPr>
          <w:sz w:val="28"/>
          <w:szCs w:val="28"/>
        </w:rPr>
        <w:t xml:space="preserve"> осуществлялась в формах: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проведения проверок соблюдения застройщиками законодательства о долевом участии в строительстве объектов недвижимости (Федеральный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сбора ежеквартальной отчетности от застройщика об осуществлении деятельности, связанной с привлечением денежных средств дольщиков, в том числе об исполнении своих обязательств по договорам;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анализа проектных деклараций застройщиков и их сайтов, информации рекламного характера;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рассмотрения жалоб и консультирование участников долевого строительства;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рассмотрения дел об административных правонарушениях;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 участия в судебных разбирательствах по делам о защите интересов дольщиков в рамках банкротства застройщиков.</w:t>
      </w:r>
    </w:p>
    <w:p w:rsidR="00843035" w:rsidRDefault="00843035" w:rsidP="0094012D">
      <w:pPr>
        <w:ind w:firstLine="709"/>
        <w:jc w:val="both"/>
        <w:rPr>
          <w:sz w:val="28"/>
          <w:szCs w:val="28"/>
        </w:rPr>
      </w:pPr>
      <w:proofErr w:type="gramStart"/>
      <w:r w:rsidRPr="00843035">
        <w:rPr>
          <w:sz w:val="28"/>
          <w:szCs w:val="28"/>
        </w:rPr>
        <w:t xml:space="preserve">Согласно утвержденной типовой формы ежегодного плана проведения плановых проверок юридических лиц и индивидуальных предпринимателей </w:t>
      </w:r>
      <w:r w:rsidRPr="00843035">
        <w:rPr>
          <w:sz w:val="28"/>
          <w:szCs w:val="28"/>
        </w:rPr>
        <w:lastRenderedPageBreak/>
        <w:t>на 201</w:t>
      </w:r>
      <w:r w:rsidR="0094012D">
        <w:rPr>
          <w:sz w:val="28"/>
          <w:szCs w:val="28"/>
        </w:rPr>
        <w:t>8</w:t>
      </w:r>
      <w:r w:rsidRPr="00843035">
        <w:rPr>
          <w:sz w:val="28"/>
          <w:szCs w:val="28"/>
        </w:rPr>
        <w:t xml:space="preserve"> год, за   </w:t>
      </w:r>
      <w:r w:rsidR="0094012D">
        <w:rPr>
          <w:sz w:val="28"/>
          <w:szCs w:val="28"/>
        </w:rPr>
        <w:t xml:space="preserve">1 квартал </w:t>
      </w:r>
      <w:r w:rsidRPr="00843035">
        <w:rPr>
          <w:sz w:val="28"/>
          <w:szCs w:val="28"/>
        </w:rPr>
        <w:t xml:space="preserve"> 201</w:t>
      </w:r>
      <w:r w:rsidR="0094012D">
        <w:rPr>
          <w:sz w:val="28"/>
          <w:szCs w:val="28"/>
        </w:rPr>
        <w:t>8</w:t>
      </w:r>
      <w:r w:rsidRPr="00843035">
        <w:rPr>
          <w:sz w:val="28"/>
          <w:szCs w:val="28"/>
        </w:rPr>
        <w:t xml:space="preserve"> год  производилась 1 плановая документарная проверка.</w:t>
      </w:r>
      <w:r w:rsidR="0094012D" w:rsidRPr="00843035">
        <w:rPr>
          <w:sz w:val="28"/>
          <w:szCs w:val="28"/>
        </w:rPr>
        <w:t xml:space="preserve"> </w:t>
      </w:r>
      <w:proofErr w:type="gramEnd"/>
    </w:p>
    <w:p w:rsidR="001F0D94" w:rsidRDefault="001F0D94" w:rsidP="00843035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>Министерством проводи</w:t>
      </w:r>
      <w:r w:rsidR="0094012D">
        <w:rPr>
          <w:sz w:val="28"/>
          <w:szCs w:val="28"/>
        </w:rPr>
        <w:t xml:space="preserve">ться </w:t>
      </w:r>
      <w:r w:rsidRPr="00D21D3D">
        <w:rPr>
          <w:sz w:val="28"/>
          <w:szCs w:val="28"/>
        </w:rPr>
        <w:t xml:space="preserve"> работа по оптимизации государственного контроля (надзора), повышению его эффективности. Для этих целей </w:t>
      </w:r>
      <w:r w:rsidR="0094012D">
        <w:rPr>
          <w:sz w:val="28"/>
          <w:szCs w:val="28"/>
        </w:rPr>
        <w:t xml:space="preserve">планируется внесение </w:t>
      </w:r>
      <w:r w:rsidRPr="00D21D3D">
        <w:rPr>
          <w:sz w:val="28"/>
          <w:szCs w:val="28"/>
        </w:rPr>
        <w:t>изменения в Административные регламенты в подконтрольных сферах с учетом изменения законодательства Российской Федерации и Республики Алтай, вносились предложения в исполнительные органы государственной власти Российской Федерации об установлении критериев отнесения подконтрольных субъектов к определенным категориям риска</w:t>
      </w:r>
      <w:r w:rsidR="00E42350">
        <w:rPr>
          <w:sz w:val="28"/>
          <w:szCs w:val="28"/>
        </w:rPr>
        <w:t>.</w:t>
      </w:r>
    </w:p>
    <w:p w:rsidR="00E42350" w:rsidRPr="00D21D3D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правоприменительной практики</w:t>
      </w:r>
      <w:r w:rsidR="002C1BE0">
        <w:rPr>
          <w:sz w:val="28"/>
          <w:szCs w:val="28"/>
        </w:rPr>
        <w:t xml:space="preserve"> в целях принятия мер по профилактики нарушений </w:t>
      </w:r>
      <w:r>
        <w:rPr>
          <w:sz w:val="28"/>
          <w:szCs w:val="28"/>
        </w:rPr>
        <w:t xml:space="preserve"> были выявлены типичные нарушения.</w:t>
      </w:r>
    </w:p>
    <w:p w:rsidR="00D62964" w:rsidRPr="003B1776" w:rsidRDefault="00E42350" w:rsidP="00D21D3D">
      <w:pPr>
        <w:ind w:firstLine="709"/>
        <w:jc w:val="both"/>
        <w:rPr>
          <w:i/>
          <w:sz w:val="28"/>
          <w:szCs w:val="28"/>
        </w:rPr>
      </w:pPr>
      <w:r w:rsidRPr="00FA4C3D">
        <w:rPr>
          <w:b/>
          <w:sz w:val="28"/>
          <w:szCs w:val="28"/>
        </w:rPr>
        <w:t xml:space="preserve">Так </w:t>
      </w:r>
      <w:r w:rsidR="00D62964" w:rsidRPr="00FA4C3D">
        <w:rPr>
          <w:b/>
          <w:sz w:val="28"/>
          <w:szCs w:val="28"/>
        </w:rPr>
        <w:t xml:space="preserve"> типовыми нарушениями </w:t>
      </w:r>
      <w:r w:rsidRPr="00FA4C3D">
        <w:rPr>
          <w:b/>
          <w:sz w:val="28"/>
          <w:szCs w:val="28"/>
        </w:rPr>
        <w:t xml:space="preserve">в </w:t>
      </w:r>
      <w:r w:rsidRPr="00FA4C3D">
        <w:rPr>
          <w:b/>
          <w:i/>
          <w:sz w:val="28"/>
          <w:szCs w:val="28"/>
        </w:rPr>
        <w:t>сфере</w:t>
      </w:r>
      <w:r w:rsidRPr="003B1776">
        <w:rPr>
          <w:i/>
        </w:rPr>
        <w:t xml:space="preserve"> </w:t>
      </w:r>
      <w:r w:rsidRPr="003B1776">
        <w:rPr>
          <w:i/>
          <w:sz w:val="28"/>
          <w:szCs w:val="28"/>
        </w:rPr>
        <w:t>государственн</w:t>
      </w:r>
      <w:r w:rsidR="00EA19F2">
        <w:rPr>
          <w:i/>
          <w:sz w:val="28"/>
          <w:szCs w:val="28"/>
        </w:rPr>
        <w:t>ого</w:t>
      </w:r>
      <w:r w:rsidRPr="003B1776">
        <w:rPr>
          <w:i/>
          <w:sz w:val="28"/>
          <w:szCs w:val="28"/>
        </w:rPr>
        <w:t xml:space="preserve"> контрол</w:t>
      </w:r>
      <w:r w:rsidR="00EA19F2">
        <w:rPr>
          <w:i/>
          <w:sz w:val="28"/>
          <w:szCs w:val="28"/>
        </w:rPr>
        <w:t>я</w:t>
      </w:r>
      <w:r w:rsidRPr="003B1776">
        <w:rPr>
          <w:i/>
          <w:sz w:val="28"/>
          <w:szCs w:val="28"/>
        </w:rPr>
        <w:t xml:space="preserve"> и надзор</w:t>
      </w:r>
      <w:r w:rsidR="00EA19F2">
        <w:rPr>
          <w:i/>
          <w:sz w:val="28"/>
          <w:szCs w:val="28"/>
        </w:rPr>
        <w:t xml:space="preserve">а </w:t>
      </w:r>
      <w:r w:rsidRPr="003B1776">
        <w:rPr>
          <w:i/>
          <w:sz w:val="28"/>
          <w:szCs w:val="28"/>
        </w:rPr>
        <w:t>в области долевого строительства многоквартирных домов и (или) иных объектов недвижимости на территории Республики Алтай</w:t>
      </w:r>
      <w:r w:rsidR="00D62964" w:rsidRPr="003B1776">
        <w:rPr>
          <w:i/>
          <w:sz w:val="28"/>
          <w:szCs w:val="28"/>
        </w:rPr>
        <w:t>: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2964" w:rsidRPr="00D21D3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62964" w:rsidRPr="00D21D3D">
        <w:rPr>
          <w:sz w:val="28"/>
          <w:szCs w:val="28"/>
        </w:rPr>
        <w:t>е представление отчетности либо представление отчетности о привлечении денежных средств участников долевого строительства, с нарушением установленных законодательством сроков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2964" w:rsidRPr="00D21D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62964" w:rsidRPr="00D21D3D">
        <w:rPr>
          <w:sz w:val="28"/>
          <w:szCs w:val="28"/>
        </w:rPr>
        <w:t>редставление отчетности, содержащей недостоверные сведения</w:t>
      </w:r>
      <w:r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E42350" w:rsidRDefault="00843035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2350">
        <w:rPr>
          <w:sz w:val="28"/>
          <w:szCs w:val="28"/>
        </w:rPr>
        <w:t>И</w:t>
      </w:r>
      <w:r w:rsidR="00D62964" w:rsidRPr="00D21D3D">
        <w:rPr>
          <w:sz w:val="28"/>
          <w:szCs w:val="28"/>
        </w:rPr>
        <w:t>спользование денежных средств участников долевого строительства на цели, не предусмотренные законодательством</w:t>
      </w:r>
      <w:r w:rsidR="00E42350"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D62964" w:rsidRPr="00D21D3D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D62964" w:rsidRPr="00D21D3D">
        <w:rPr>
          <w:sz w:val="28"/>
          <w:szCs w:val="28"/>
        </w:rPr>
        <w:t>е направление в установленный за</w:t>
      </w:r>
      <w:r w:rsidR="00843035">
        <w:rPr>
          <w:sz w:val="28"/>
          <w:szCs w:val="28"/>
        </w:rPr>
        <w:t xml:space="preserve">конодательством срок участникам </w:t>
      </w:r>
      <w:r w:rsidR="00D62964" w:rsidRPr="00D21D3D">
        <w:rPr>
          <w:sz w:val="28"/>
          <w:szCs w:val="28"/>
        </w:rPr>
        <w:t>долевого строительства уведомления о невозможности завершения строительства многоквартирного дома в</w:t>
      </w:r>
      <w:r>
        <w:rPr>
          <w:sz w:val="28"/>
          <w:szCs w:val="28"/>
        </w:rPr>
        <w:t xml:space="preserve"> предусмотренный договором срок.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62964" w:rsidRPr="00D21D3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62964" w:rsidRPr="00D21D3D">
        <w:rPr>
          <w:sz w:val="28"/>
          <w:szCs w:val="28"/>
        </w:rPr>
        <w:t>е обеспечение свободного доступа, а также отсутствие информации в сети Интернет о деятельности застройщика</w:t>
      </w:r>
      <w:r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="00D62964" w:rsidRPr="00D21D3D">
        <w:rPr>
          <w:sz w:val="28"/>
          <w:szCs w:val="28"/>
        </w:rPr>
        <w:t>е своевременное внесение изменений в проектную декларацию</w:t>
      </w:r>
      <w:r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D62964" w:rsidRPr="00D21D3D" w:rsidRDefault="00D62964" w:rsidP="00D21D3D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>7</w:t>
      </w:r>
      <w:r w:rsidR="00E42350">
        <w:rPr>
          <w:sz w:val="28"/>
          <w:szCs w:val="28"/>
        </w:rPr>
        <w:t>.</w:t>
      </w:r>
      <w:r w:rsidRPr="00D21D3D">
        <w:rPr>
          <w:sz w:val="28"/>
          <w:szCs w:val="28"/>
        </w:rPr>
        <w:t xml:space="preserve"> </w:t>
      </w:r>
      <w:r w:rsidR="00E42350">
        <w:rPr>
          <w:sz w:val="28"/>
          <w:szCs w:val="28"/>
        </w:rPr>
        <w:t>О</w:t>
      </w:r>
      <w:r w:rsidRPr="00D21D3D">
        <w:rPr>
          <w:sz w:val="28"/>
          <w:szCs w:val="28"/>
        </w:rPr>
        <w:t>тсутствие обеспечения исполнения обязательств застройщика перед участниками долевого строительства.</w:t>
      </w:r>
    </w:p>
    <w:p w:rsidR="00843035" w:rsidRPr="00FA4C3D" w:rsidRDefault="00843035" w:rsidP="00843035">
      <w:pPr>
        <w:ind w:firstLine="709"/>
        <w:jc w:val="both"/>
        <w:rPr>
          <w:b/>
          <w:sz w:val="28"/>
          <w:szCs w:val="28"/>
        </w:rPr>
      </w:pPr>
      <w:r w:rsidRPr="00FA4C3D">
        <w:rPr>
          <w:b/>
          <w:sz w:val="28"/>
          <w:szCs w:val="28"/>
        </w:rPr>
        <w:t>В целях недопущения вышеуказанных нарушений необходимо обеспечить безусловное соблюдение обязательных требований.</w:t>
      </w:r>
    </w:p>
    <w:p w:rsidR="00843035" w:rsidRPr="00843035" w:rsidRDefault="00843035" w:rsidP="00843035">
      <w:pPr>
        <w:ind w:firstLine="709"/>
        <w:jc w:val="both"/>
        <w:rPr>
          <w:i/>
          <w:sz w:val="28"/>
          <w:szCs w:val="28"/>
        </w:rPr>
      </w:pPr>
      <w:r w:rsidRPr="00843035">
        <w:rPr>
          <w:i/>
          <w:sz w:val="28"/>
          <w:szCs w:val="28"/>
        </w:rPr>
        <w:t xml:space="preserve"> 1. Предусмотренные  ч. 2, 2.3. ст. 3 ФЗ № 214- ФЗ: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установлен минимальный размер уставного капитала, который должен быть полностью оплачен;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застройщик отсутствует в реестрах недобросовестных поставщиков (подрядчиков, исполнителей) и участников земельных аукционов;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в отношении застройщика не проводятся процедуры ликвидации и банкротства, а также отсутствуют решения суда о приостановке деятельности</w:t>
      </w:r>
      <w:r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(в качестве меры административного наказания);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у юридического лица - застройщика отсутствует недоимка по налогам и сборам;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у директора, и также главного бухгалтера строительной компании отсутствует судимость за преступления в сфере экономики и в их отношении не применялись наказания в виде лишения права занимать определенные </w:t>
      </w:r>
      <w:r w:rsidRPr="00843035">
        <w:rPr>
          <w:sz w:val="28"/>
          <w:szCs w:val="28"/>
        </w:rPr>
        <w:lastRenderedPageBreak/>
        <w:t xml:space="preserve">должности или заниматься определённой деятельностью в сфере строительства.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i/>
          <w:sz w:val="28"/>
          <w:szCs w:val="28"/>
        </w:rPr>
        <w:t>2. Раскрытие информации застройщиком.</w:t>
      </w:r>
      <w:r w:rsidRPr="00843035">
        <w:rPr>
          <w:sz w:val="28"/>
          <w:szCs w:val="28"/>
        </w:rPr>
        <w:t xml:space="preserve"> На официальном сайте застройщика в отношении каждого многоквартирного дома и (или) иного объекта недвижимости, строящихся (создаваемых) с привлечением средств участников долевого строительства, в обязательном порядке должна быть размещена следующая информация: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аудиторское заключение за последний год осуществления застройщиком предпринимательской деятельности;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заключение экспертизы проектной документации;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заключение уполномоченного органа исполнительной власти субъекта Российской Федерации, о соответствии застройщика и проектной декларации требованиям законодательства</w:t>
      </w:r>
      <w:proofErr w:type="gramStart"/>
      <w:r w:rsidRPr="00843035">
        <w:rPr>
          <w:sz w:val="28"/>
          <w:szCs w:val="28"/>
        </w:rPr>
        <w:t>.(</w:t>
      </w:r>
      <w:proofErr w:type="gramEnd"/>
      <w:r w:rsidRPr="00843035">
        <w:rPr>
          <w:sz w:val="28"/>
          <w:szCs w:val="28"/>
        </w:rPr>
        <w:t>без получения такого заключения застройщик не сможет зарегистрировать первый договор долевого строительства (ДДУ), ему нельзя размещать проектную декларацию на своем официальном сайте, он не будет иметь права рекламировать, строящиеся с привлечением средств дольщиков объекты);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разрешение на строительство;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проектная декларация;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документы, подтверждающие права застройщика на земельный участок, на котором осуществляется строительство многоквартирного дом</w:t>
      </w:r>
      <w:proofErr w:type="gramStart"/>
      <w:r w:rsidRPr="00843035">
        <w:rPr>
          <w:sz w:val="28"/>
          <w:szCs w:val="28"/>
        </w:rPr>
        <w:t>а(</w:t>
      </w:r>
      <w:proofErr w:type="gramEnd"/>
      <w:r w:rsidRPr="00843035">
        <w:rPr>
          <w:sz w:val="28"/>
          <w:szCs w:val="28"/>
        </w:rPr>
        <w:t>домов),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договор поручительства по обязательствам по договорам участия в долевом строительстве многоквартирного дома застройщика, размер уставного капитала которого не соответствует требованиям законодательства;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обязательно должен присутствовать на сайте застройщика образец формы ДДУ (договора долевого участия), который застройщик предполагает заключать с гражданами;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фотографии этапов строительства объектов;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права на доменное имя сайта застройщика должны принадлежать самому застройщику либо поручителю.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i/>
          <w:sz w:val="28"/>
          <w:szCs w:val="28"/>
        </w:rPr>
        <w:t xml:space="preserve"> 3. Перечисление 1</w:t>
      </w:r>
      <w:r w:rsidR="003C254F">
        <w:rPr>
          <w:i/>
          <w:sz w:val="28"/>
          <w:szCs w:val="28"/>
        </w:rPr>
        <w:t>,2</w:t>
      </w:r>
      <w:r w:rsidRPr="00843035">
        <w:rPr>
          <w:i/>
          <w:sz w:val="28"/>
          <w:szCs w:val="28"/>
        </w:rPr>
        <w:t xml:space="preserve">% </w:t>
      </w:r>
      <w:r w:rsidR="003C254F" w:rsidRPr="003C254F">
        <w:rPr>
          <w:i/>
          <w:sz w:val="28"/>
          <w:szCs w:val="28"/>
        </w:rPr>
        <w:t>от согласованной сторонами цены каждого договора участия в долевом строительстве, предусматривающего передачу жилого помещения</w:t>
      </w:r>
      <w:r w:rsidR="003C254F">
        <w:rPr>
          <w:i/>
          <w:sz w:val="28"/>
          <w:szCs w:val="28"/>
        </w:rPr>
        <w:t xml:space="preserve"> </w:t>
      </w:r>
      <w:r w:rsidRPr="00843035">
        <w:rPr>
          <w:sz w:val="28"/>
          <w:szCs w:val="28"/>
        </w:rPr>
        <w:t xml:space="preserve">в компенсационный фонд помощи дольщикам.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i/>
          <w:sz w:val="28"/>
          <w:szCs w:val="28"/>
        </w:rPr>
        <w:t>4. Целевое использование денежных средств дольщиков</w:t>
      </w:r>
      <w:r w:rsidRPr="00843035">
        <w:rPr>
          <w:sz w:val="28"/>
          <w:szCs w:val="28"/>
        </w:rPr>
        <w:t xml:space="preserve">. Застройщик обязан вести финансовую документацию отдельно по каждому дому. Кроме непосредственных расходов на возведение жилых комплексов, затрат на получение разрешений и подведение коммуникаций,  деньги можно тратить только на строительство объектов социального и бытового назначения. Годовая отчетность подлежит обязательному финансовому аудиту, а </w:t>
      </w:r>
      <w:r w:rsidRPr="00843035">
        <w:rPr>
          <w:sz w:val="28"/>
          <w:szCs w:val="28"/>
        </w:rPr>
        <w:lastRenderedPageBreak/>
        <w:t xml:space="preserve">ответственность за нецелевое использование денежных средств несут персонально руководитель и главный бухгалтер строительной компании.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В экономических условиях, сложившихся на финансовом рынке страны, основная задача контроля (надзора) в области долевого строительства на 2018 год – не допустить нарушения </w:t>
      </w:r>
      <w:r w:rsidR="00AA06EE">
        <w:rPr>
          <w:sz w:val="28"/>
          <w:szCs w:val="28"/>
        </w:rPr>
        <w:t xml:space="preserve">прав </w:t>
      </w:r>
      <w:r w:rsidR="00020352"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дольщиков, переносов сроков передачи объектов долевого строительства, привлечения средств дольщиков незаконными способами и вывод их из отрасли.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>Министерством будет продолжена работа по следующим направлениям: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повышение уровня правовой осведомленности по вопросам долевого строительства,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035">
        <w:rPr>
          <w:sz w:val="28"/>
          <w:szCs w:val="28"/>
        </w:rPr>
        <w:t>информирование застройщиков о требованиях действующего законодательства в области долевого строительства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</w:t>
      </w:r>
      <w:proofErr w:type="gramStart"/>
      <w:r w:rsidRPr="00843035">
        <w:rPr>
          <w:sz w:val="28"/>
          <w:szCs w:val="28"/>
        </w:rPr>
        <w:t>контроль за</w:t>
      </w:r>
      <w:proofErr w:type="gramEnd"/>
      <w:r w:rsidRPr="00843035">
        <w:rPr>
          <w:sz w:val="28"/>
          <w:szCs w:val="28"/>
        </w:rPr>
        <w:t xml:space="preserve"> целевым использованием ими привлеченных денежных средств участников долевого строительства;</w:t>
      </w:r>
    </w:p>
    <w:p w:rsidR="00E42350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выявление и пресечение действий лиц, неправомерно привлекающих денежные средства участников долевого строительства для создания многоквартирных домов.</w:t>
      </w:r>
    </w:p>
    <w:p w:rsidR="0094012D" w:rsidRPr="0094012D" w:rsidRDefault="0094012D" w:rsidP="00843035">
      <w:pPr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94012D">
        <w:rPr>
          <w:b/>
          <w:sz w:val="28"/>
          <w:szCs w:val="28"/>
        </w:rPr>
        <w:t>Ответственность</w:t>
      </w:r>
      <w:proofErr w:type="gramEnd"/>
      <w:r w:rsidRPr="0094012D">
        <w:rPr>
          <w:b/>
          <w:sz w:val="28"/>
          <w:szCs w:val="28"/>
        </w:rPr>
        <w:t xml:space="preserve"> предусмотренная законодательно за нарушение обязательных требований.</w:t>
      </w:r>
    </w:p>
    <w:p w:rsidR="0094012D" w:rsidRDefault="0094012D" w:rsidP="00BD550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4012D">
        <w:rPr>
          <w:sz w:val="28"/>
          <w:szCs w:val="28"/>
        </w:rPr>
        <w:t>За нарушение типовых требований законодательства застройщик привлекается к административной ответственности  по ст. 14.28 КоАП РФ,  ст. 19.5 КоАП РФ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Pr="0094012D">
        <w:rPr>
          <w:sz w:val="28"/>
          <w:szCs w:val="28"/>
        </w:rPr>
        <w:t>а так же в случае привлечение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 в крупном размере привлекается к уголовной ответственности по ст. 200.3.</w:t>
      </w:r>
      <w:proofErr w:type="gramEnd"/>
      <w:r w:rsidRPr="0094012D">
        <w:rPr>
          <w:sz w:val="28"/>
          <w:szCs w:val="28"/>
        </w:rPr>
        <w:t xml:space="preserve"> УК РФ. </w:t>
      </w:r>
    </w:p>
    <w:p w:rsidR="00BD5508" w:rsidRPr="00BD5508" w:rsidRDefault="0094012D" w:rsidP="00BD55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же д</w:t>
      </w:r>
      <w:r w:rsidR="00BD5508" w:rsidRPr="00BD5508">
        <w:rPr>
          <w:sz w:val="28"/>
          <w:szCs w:val="28"/>
        </w:rPr>
        <w:t>ольщик имеет право привлечь Застройщика к административной ответственности (в виде штрафа) за оказание услуг ненадлежащего качества (ст.14.4, КоАП РФ), за обман потребителя (ст.14.7, КоАП РФ), за нарушение требований законодательства об участии в долевом строительстве многоквартирных домов (ст.14.28, КоАП РФ).</w:t>
      </w:r>
    </w:p>
    <w:p w:rsidR="00BD5508" w:rsidRDefault="00BD5508" w:rsidP="00BD5508">
      <w:pPr>
        <w:ind w:firstLine="709"/>
        <w:contextualSpacing/>
        <w:jc w:val="both"/>
        <w:rPr>
          <w:sz w:val="28"/>
          <w:szCs w:val="28"/>
        </w:rPr>
      </w:pPr>
      <w:r w:rsidRPr="00BD5508">
        <w:rPr>
          <w:sz w:val="28"/>
          <w:szCs w:val="28"/>
        </w:rPr>
        <w:t>Дольщик имеет право привлечь руководство компании-застройщика к уголовной ответственности (ч.2.2, ст.1, ФЗ-214, ст.200.3, УК РФ).</w:t>
      </w:r>
    </w:p>
    <w:sectPr w:rsidR="00BD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94"/>
    <w:rsid w:val="00020352"/>
    <w:rsid w:val="0009362F"/>
    <w:rsid w:val="001213C2"/>
    <w:rsid w:val="00131CDC"/>
    <w:rsid w:val="001F0D94"/>
    <w:rsid w:val="002C1BE0"/>
    <w:rsid w:val="00393E81"/>
    <w:rsid w:val="003B1776"/>
    <w:rsid w:val="003C254F"/>
    <w:rsid w:val="003F6989"/>
    <w:rsid w:val="004C4078"/>
    <w:rsid w:val="00593556"/>
    <w:rsid w:val="00642045"/>
    <w:rsid w:val="008239B4"/>
    <w:rsid w:val="00843035"/>
    <w:rsid w:val="0094012D"/>
    <w:rsid w:val="009C2D79"/>
    <w:rsid w:val="009D64E3"/>
    <w:rsid w:val="00A574B8"/>
    <w:rsid w:val="00A83A54"/>
    <w:rsid w:val="00AA06EE"/>
    <w:rsid w:val="00BD5508"/>
    <w:rsid w:val="00C87AB6"/>
    <w:rsid w:val="00CE6E26"/>
    <w:rsid w:val="00D21D3D"/>
    <w:rsid w:val="00D62964"/>
    <w:rsid w:val="00D82BAB"/>
    <w:rsid w:val="00DD239E"/>
    <w:rsid w:val="00E42350"/>
    <w:rsid w:val="00EA19F2"/>
    <w:rsid w:val="00F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3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3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D1F0-6848-4DBF-8260-C4FCD73C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2017-11-27T07:33:00Z</cp:lastPrinted>
  <dcterms:created xsi:type="dcterms:W3CDTF">2018-04-05T06:24:00Z</dcterms:created>
  <dcterms:modified xsi:type="dcterms:W3CDTF">2018-04-05T06:24:00Z</dcterms:modified>
</cp:coreProperties>
</file>